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5678" w14:textId="2A7C2F7E" w:rsidR="00075078" w:rsidRPr="0034504F" w:rsidRDefault="00D14AEA" w:rsidP="00715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5078" w:rsidRPr="0034504F">
        <w:rPr>
          <w:rFonts w:ascii="Times New Roman" w:hAnsi="Times New Roman" w:cs="Times New Roman"/>
          <w:b/>
          <w:bCs/>
          <w:sz w:val="24"/>
          <w:szCs w:val="24"/>
        </w:rPr>
        <w:t>OBRAZLOŽENJE I</w:t>
      </w:r>
      <w:r w:rsidR="00AB246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C7A68" w:rsidRPr="0034504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75078" w:rsidRPr="0034504F">
        <w:rPr>
          <w:rFonts w:ascii="Times New Roman" w:hAnsi="Times New Roman" w:cs="Times New Roman"/>
          <w:b/>
          <w:bCs/>
          <w:sz w:val="24"/>
          <w:szCs w:val="24"/>
        </w:rPr>
        <w:t>. IZMJENA I DOPUNA PRORAČUNA OPĆINE RUŽIĆ ZA 2025. GODINU</w:t>
      </w:r>
    </w:p>
    <w:p w14:paraId="1BE5EEBC" w14:textId="77777777" w:rsidR="0071536E" w:rsidRPr="0034504F" w:rsidRDefault="0071536E" w:rsidP="00715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0E17B" w14:textId="205B083B" w:rsidR="00075078" w:rsidRPr="00E60C05" w:rsidRDefault="00075078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>Sukladno odredbama Zakona o proračunu („Narodne novine br. 144/21</w:t>
      </w:r>
      <w:r w:rsidR="00B635AE" w:rsidRPr="00E60C05">
        <w:rPr>
          <w:rFonts w:ascii="Times New Roman" w:hAnsi="Times New Roman" w:cs="Times New Roman"/>
          <w:sz w:val="24"/>
          <w:szCs w:val="24"/>
        </w:rPr>
        <w:t>)</w:t>
      </w:r>
      <w:r w:rsidRPr="00E60C05">
        <w:rPr>
          <w:rFonts w:ascii="Times New Roman" w:hAnsi="Times New Roman" w:cs="Times New Roman"/>
          <w:sz w:val="24"/>
          <w:szCs w:val="24"/>
        </w:rPr>
        <w:t xml:space="preserve"> i odredbi</w:t>
      </w:r>
      <w:r w:rsidR="0071536E" w:rsidRPr="00E60C05">
        <w:rPr>
          <w:rFonts w:ascii="Times New Roman" w:hAnsi="Times New Roman" w:cs="Times New Roman"/>
          <w:sz w:val="24"/>
          <w:szCs w:val="24"/>
        </w:rPr>
        <w:t xml:space="preserve"> </w:t>
      </w:r>
      <w:r w:rsidRPr="00E60C05">
        <w:rPr>
          <w:rFonts w:ascii="Times New Roman" w:hAnsi="Times New Roman" w:cs="Times New Roman"/>
          <w:sz w:val="24"/>
          <w:szCs w:val="24"/>
        </w:rPr>
        <w:t>Pravilnika o planiranju u sustavu proračuna („Narodne novine“, broj 1/24) sl</w:t>
      </w:r>
      <w:r w:rsidR="00A2510B">
        <w:rPr>
          <w:rFonts w:ascii="Times New Roman" w:hAnsi="Times New Roman" w:cs="Times New Roman"/>
          <w:sz w:val="24"/>
          <w:szCs w:val="24"/>
        </w:rPr>
        <w:t>i</w:t>
      </w:r>
      <w:r w:rsidRPr="00E60C05">
        <w:rPr>
          <w:rFonts w:ascii="Times New Roman" w:hAnsi="Times New Roman" w:cs="Times New Roman"/>
          <w:sz w:val="24"/>
          <w:szCs w:val="24"/>
        </w:rPr>
        <w:t xml:space="preserve">jedi obrazloženje </w:t>
      </w:r>
      <w:r w:rsidR="00F57B2E" w:rsidRPr="00E60C05">
        <w:rPr>
          <w:rFonts w:ascii="Times New Roman" w:hAnsi="Times New Roman" w:cs="Times New Roman"/>
          <w:sz w:val="24"/>
          <w:szCs w:val="24"/>
        </w:rPr>
        <w:t>I</w:t>
      </w:r>
      <w:r w:rsidR="00AB2464">
        <w:rPr>
          <w:rFonts w:ascii="Times New Roman" w:hAnsi="Times New Roman" w:cs="Times New Roman"/>
          <w:sz w:val="24"/>
          <w:szCs w:val="24"/>
        </w:rPr>
        <w:t>I</w:t>
      </w:r>
      <w:r w:rsidRPr="00E60C05">
        <w:rPr>
          <w:rFonts w:ascii="Times New Roman" w:hAnsi="Times New Roman" w:cs="Times New Roman"/>
          <w:sz w:val="24"/>
          <w:szCs w:val="24"/>
        </w:rPr>
        <w:t>I. Izmjena i dopuna Plana Proračuna Općine Ružić za 2025. godinu (u daljnjem tekstu: Rebalans) i čini njegov sastavni dio.</w:t>
      </w:r>
    </w:p>
    <w:p w14:paraId="4E8CC1D0" w14:textId="77777777" w:rsidR="0071536E" w:rsidRPr="00E60C05" w:rsidRDefault="0071536E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7C817" w14:textId="133A58C5" w:rsidR="00075078" w:rsidRPr="00E60C05" w:rsidRDefault="00BC7A68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 xml:space="preserve">Proračun Općine Ružić za 2025. godinu  donesen </w:t>
      </w:r>
      <w:r w:rsidR="00F57B2E" w:rsidRPr="00E60C05">
        <w:rPr>
          <w:rFonts w:ascii="Times New Roman" w:hAnsi="Times New Roman" w:cs="Times New Roman"/>
          <w:sz w:val="24"/>
          <w:szCs w:val="24"/>
        </w:rPr>
        <w:t xml:space="preserve">je </w:t>
      </w:r>
      <w:r w:rsidRPr="00E60C05">
        <w:rPr>
          <w:rFonts w:ascii="Times New Roman" w:hAnsi="Times New Roman" w:cs="Times New Roman"/>
          <w:sz w:val="24"/>
          <w:szCs w:val="24"/>
        </w:rPr>
        <w:t xml:space="preserve"> na  22. sjednici od 12. prosinca 2024. godine („Službeno glasilo Općine Ružić“ </w:t>
      </w:r>
      <w:proofErr w:type="spellStart"/>
      <w:r w:rsidRPr="00E60C05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E60C05">
        <w:rPr>
          <w:rFonts w:ascii="Times New Roman" w:hAnsi="Times New Roman" w:cs="Times New Roman"/>
          <w:sz w:val="24"/>
          <w:szCs w:val="24"/>
        </w:rPr>
        <w:t xml:space="preserve"> 7/24),  I.  Rebalans donesen je na 24. sjednici od 8.</w:t>
      </w:r>
      <w:r w:rsidR="003037F5">
        <w:rPr>
          <w:rFonts w:ascii="Times New Roman" w:hAnsi="Times New Roman" w:cs="Times New Roman"/>
          <w:sz w:val="24"/>
          <w:szCs w:val="24"/>
        </w:rPr>
        <w:t>travnja</w:t>
      </w:r>
      <w:r w:rsidRPr="00E60C05">
        <w:rPr>
          <w:rFonts w:ascii="Times New Roman" w:hAnsi="Times New Roman" w:cs="Times New Roman"/>
          <w:sz w:val="24"/>
          <w:szCs w:val="24"/>
        </w:rPr>
        <w:t>.2025. godine („Službeno glasilo Općine Ružić“ br</w:t>
      </w:r>
      <w:r w:rsidR="00D97203">
        <w:rPr>
          <w:rFonts w:ascii="Times New Roman" w:hAnsi="Times New Roman" w:cs="Times New Roman"/>
          <w:sz w:val="24"/>
          <w:szCs w:val="24"/>
        </w:rPr>
        <w:t>.</w:t>
      </w:r>
      <w:r w:rsidRPr="00E60C05">
        <w:rPr>
          <w:rFonts w:ascii="Times New Roman" w:hAnsi="Times New Roman" w:cs="Times New Roman"/>
          <w:sz w:val="24"/>
          <w:szCs w:val="24"/>
        </w:rPr>
        <w:t xml:space="preserve"> 2/25)</w:t>
      </w:r>
      <w:r w:rsidR="00AB2464">
        <w:rPr>
          <w:rFonts w:ascii="Times New Roman" w:hAnsi="Times New Roman" w:cs="Times New Roman"/>
          <w:sz w:val="24"/>
          <w:szCs w:val="24"/>
        </w:rPr>
        <w:t xml:space="preserve">, </w:t>
      </w:r>
      <w:r w:rsidRPr="00E60C05">
        <w:rPr>
          <w:rFonts w:ascii="Times New Roman" w:hAnsi="Times New Roman" w:cs="Times New Roman"/>
          <w:sz w:val="24"/>
          <w:szCs w:val="24"/>
        </w:rPr>
        <w:t xml:space="preserve">II. </w:t>
      </w:r>
      <w:r w:rsidR="00075078" w:rsidRPr="00E60C05">
        <w:rPr>
          <w:rFonts w:ascii="Times New Roman" w:hAnsi="Times New Roman" w:cs="Times New Roman"/>
          <w:sz w:val="24"/>
          <w:szCs w:val="24"/>
        </w:rPr>
        <w:t>Rebalans</w:t>
      </w:r>
      <w:r w:rsidR="00AB2464">
        <w:rPr>
          <w:rFonts w:ascii="Times New Roman" w:hAnsi="Times New Roman" w:cs="Times New Roman"/>
          <w:sz w:val="24"/>
          <w:szCs w:val="24"/>
        </w:rPr>
        <w:t xml:space="preserve"> </w:t>
      </w:r>
      <w:r w:rsidR="00075078" w:rsidRPr="00E60C05">
        <w:rPr>
          <w:rFonts w:ascii="Times New Roman" w:hAnsi="Times New Roman" w:cs="Times New Roman"/>
          <w:sz w:val="24"/>
          <w:szCs w:val="24"/>
        </w:rPr>
        <w:t xml:space="preserve"> Proračuna Općine Ružić</w:t>
      </w:r>
      <w:r w:rsidR="00AB2464">
        <w:rPr>
          <w:rFonts w:ascii="Times New Roman" w:hAnsi="Times New Roman" w:cs="Times New Roman"/>
          <w:sz w:val="24"/>
          <w:szCs w:val="24"/>
        </w:rPr>
        <w:t xml:space="preserve"> donesen je na 3. sjednici od 1.</w:t>
      </w:r>
      <w:r w:rsidR="003037F5">
        <w:rPr>
          <w:rFonts w:ascii="Times New Roman" w:hAnsi="Times New Roman" w:cs="Times New Roman"/>
          <w:sz w:val="24"/>
          <w:szCs w:val="24"/>
        </w:rPr>
        <w:t>kolovoza</w:t>
      </w:r>
      <w:r w:rsidR="00AB2464">
        <w:rPr>
          <w:rFonts w:ascii="Times New Roman" w:hAnsi="Times New Roman" w:cs="Times New Roman"/>
          <w:sz w:val="24"/>
          <w:szCs w:val="24"/>
        </w:rPr>
        <w:t xml:space="preserve">.2025. godine, </w:t>
      </w:r>
      <w:r w:rsidR="00AB2464" w:rsidRPr="00E60C05">
        <w:rPr>
          <w:rFonts w:ascii="Times New Roman" w:hAnsi="Times New Roman" w:cs="Times New Roman"/>
          <w:sz w:val="24"/>
          <w:szCs w:val="24"/>
        </w:rPr>
        <w:t>(„Službeno glasilo Općine Ružić“ br</w:t>
      </w:r>
      <w:r w:rsidR="00AB2464">
        <w:rPr>
          <w:rFonts w:ascii="Times New Roman" w:hAnsi="Times New Roman" w:cs="Times New Roman"/>
          <w:sz w:val="24"/>
          <w:szCs w:val="24"/>
        </w:rPr>
        <w:t>.</w:t>
      </w:r>
      <w:r w:rsidR="00AB2464" w:rsidRPr="00E60C05">
        <w:rPr>
          <w:rFonts w:ascii="Times New Roman" w:hAnsi="Times New Roman" w:cs="Times New Roman"/>
          <w:sz w:val="24"/>
          <w:szCs w:val="24"/>
        </w:rPr>
        <w:t xml:space="preserve"> </w:t>
      </w:r>
      <w:r w:rsidR="00AB2464">
        <w:rPr>
          <w:rFonts w:ascii="Times New Roman" w:hAnsi="Times New Roman" w:cs="Times New Roman"/>
          <w:sz w:val="24"/>
          <w:szCs w:val="24"/>
        </w:rPr>
        <w:t>5</w:t>
      </w:r>
      <w:r w:rsidR="00AB2464" w:rsidRPr="00E60C05">
        <w:rPr>
          <w:rFonts w:ascii="Times New Roman" w:hAnsi="Times New Roman" w:cs="Times New Roman"/>
          <w:sz w:val="24"/>
          <w:szCs w:val="24"/>
        </w:rPr>
        <w:t>/25)</w:t>
      </w:r>
      <w:r w:rsidR="003037F5">
        <w:rPr>
          <w:rFonts w:ascii="Times New Roman" w:hAnsi="Times New Roman" w:cs="Times New Roman"/>
          <w:sz w:val="24"/>
          <w:szCs w:val="24"/>
        </w:rPr>
        <w:t xml:space="preserve">. III. rebalansom mijenja se </w:t>
      </w:r>
      <w:r w:rsidR="00075078" w:rsidRPr="00E60C05">
        <w:rPr>
          <w:rFonts w:ascii="Times New Roman" w:hAnsi="Times New Roman" w:cs="Times New Roman"/>
          <w:sz w:val="24"/>
          <w:szCs w:val="24"/>
        </w:rPr>
        <w:t xml:space="preserve">ukupno planirani iznos od </w:t>
      </w:r>
      <w:r w:rsidRPr="00E60C05">
        <w:rPr>
          <w:rFonts w:ascii="Times New Roman" w:hAnsi="Times New Roman" w:cs="Times New Roman"/>
          <w:sz w:val="24"/>
          <w:szCs w:val="24"/>
        </w:rPr>
        <w:t xml:space="preserve"> 2.</w:t>
      </w:r>
      <w:r w:rsidR="00F57B2E" w:rsidRPr="00E60C05">
        <w:rPr>
          <w:rFonts w:ascii="Times New Roman" w:hAnsi="Times New Roman" w:cs="Times New Roman"/>
          <w:sz w:val="24"/>
          <w:szCs w:val="24"/>
        </w:rPr>
        <w:t>238.265</w:t>
      </w:r>
      <w:r w:rsidRPr="00E60C05">
        <w:rPr>
          <w:rFonts w:ascii="Times New Roman" w:hAnsi="Times New Roman" w:cs="Times New Roman"/>
          <w:sz w:val="24"/>
          <w:szCs w:val="24"/>
        </w:rPr>
        <w:t>,00 eura</w:t>
      </w:r>
      <w:r w:rsidR="00AB2464">
        <w:rPr>
          <w:rFonts w:ascii="Times New Roman" w:hAnsi="Times New Roman" w:cs="Times New Roman"/>
          <w:sz w:val="24"/>
          <w:szCs w:val="24"/>
        </w:rPr>
        <w:t xml:space="preserve"> i novi plan je u iznosu 2.223.230,00 eura</w:t>
      </w:r>
      <w:r w:rsidR="00F57B2E" w:rsidRPr="00E60C05">
        <w:rPr>
          <w:rFonts w:ascii="Times New Roman" w:hAnsi="Times New Roman" w:cs="Times New Roman"/>
          <w:sz w:val="24"/>
          <w:szCs w:val="24"/>
        </w:rPr>
        <w:t>.</w:t>
      </w:r>
    </w:p>
    <w:p w14:paraId="20B0F24A" w14:textId="77777777" w:rsidR="0071536E" w:rsidRPr="00E60C05" w:rsidRDefault="0071536E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41B53" w14:textId="71CB560C" w:rsidR="00075078" w:rsidRPr="00E60C05" w:rsidRDefault="00075078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28654BF9" w14:textId="7D8F9215" w:rsidR="00A22BEF" w:rsidRDefault="00075078" w:rsidP="00BC7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 xml:space="preserve">Prihodi planirani na razredu 6 </w:t>
      </w:r>
      <w:r w:rsidR="00AB2464">
        <w:rPr>
          <w:rFonts w:ascii="Times New Roman" w:hAnsi="Times New Roman" w:cs="Times New Roman"/>
          <w:sz w:val="24"/>
          <w:szCs w:val="24"/>
        </w:rPr>
        <w:t xml:space="preserve">smanjuju se </w:t>
      </w:r>
      <w:r w:rsidR="00BC7A68" w:rsidRPr="00E60C05">
        <w:rPr>
          <w:rFonts w:ascii="Times New Roman" w:hAnsi="Times New Roman" w:cs="Times New Roman"/>
          <w:sz w:val="24"/>
          <w:szCs w:val="24"/>
        </w:rPr>
        <w:t xml:space="preserve"> za </w:t>
      </w:r>
      <w:r w:rsidR="00AB2464">
        <w:rPr>
          <w:rFonts w:ascii="Times New Roman" w:hAnsi="Times New Roman" w:cs="Times New Roman"/>
          <w:sz w:val="24"/>
          <w:szCs w:val="24"/>
        </w:rPr>
        <w:t>15.035</w:t>
      </w:r>
      <w:r w:rsidR="00BC7A68" w:rsidRPr="00E60C05">
        <w:rPr>
          <w:rFonts w:ascii="Times New Roman" w:hAnsi="Times New Roman" w:cs="Times New Roman"/>
          <w:sz w:val="24"/>
          <w:szCs w:val="24"/>
        </w:rPr>
        <w:t xml:space="preserve">,00 eura i to  </w:t>
      </w:r>
      <w:r w:rsidR="00AB2464">
        <w:rPr>
          <w:rFonts w:ascii="Times New Roman" w:hAnsi="Times New Roman" w:cs="Times New Roman"/>
          <w:sz w:val="24"/>
          <w:szCs w:val="24"/>
        </w:rPr>
        <w:t>povećavaju se  određene skupine poreza prema dosad uplaćenim prihodima</w:t>
      </w:r>
      <w:r w:rsidR="00BC7A68" w:rsidRPr="00E60C05">
        <w:rPr>
          <w:rFonts w:ascii="Times New Roman" w:hAnsi="Times New Roman" w:cs="Times New Roman"/>
          <w:sz w:val="24"/>
          <w:szCs w:val="24"/>
        </w:rPr>
        <w:t xml:space="preserve">, a </w:t>
      </w:r>
      <w:r w:rsidR="00AB2464">
        <w:rPr>
          <w:rFonts w:ascii="Times New Roman" w:hAnsi="Times New Roman" w:cs="Times New Roman"/>
          <w:sz w:val="24"/>
          <w:szCs w:val="24"/>
        </w:rPr>
        <w:t>smanjuju se pomoći za program javnih radova i planirane tekuće pomoći.</w:t>
      </w:r>
    </w:p>
    <w:p w14:paraId="10C7CE80" w14:textId="77777777" w:rsidR="003037F5" w:rsidRPr="00E60C05" w:rsidRDefault="003037F5" w:rsidP="00BC7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65B2A" w14:textId="77777777" w:rsidR="00075078" w:rsidRPr="00E60C05" w:rsidRDefault="00075078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>RASPOLOŽIVA SREDSTVA IZ PRETHODNIH GODINA</w:t>
      </w:r>
    </w:p>
    <w:p w14:paraId="29138B79" w14:textId="3E427F7D" w:rsidR="00075078" w:rsidRPr="00E60C05" w:rsidRDefault="00075078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>Ovim</w:t>
      </w:r>
      <w:r w:rsidR="003037F5">
        <w:rPr>
          <w:rFonts w:ascii="Times New Roman" w:hAnsi="Times New Roman" w:cs="Times New Roman"/>
          <w:sz w:val="24"/>
          <w:szCs w:val="24"/>
        </w:rPr>
        <w:t xml:space="preserve"> trećim</w:t>
      </w:r>
      <w:r w:rsidRPr="00E60C05">
        <w:rPr>
          <w:rFonts w:ascii="Times New Roman" w:hAnsi="Times New Roman" w:cs="Times New Roman"/>
          <w:sz w:val="24"/>
          <w:szCs w:val="24"/>
        </w:rPr>
        <w:t xml:space="preserve"> Rebalansom mijenja se </w:t>
      </w:r>
      <w:r w:rsidR="005554BF" w:rsidRPr="00E60C05">
        <w:rPr>
          <w:rFonts w:ascii="Times New Roman" w:hAnsi="Times New Roman" w:cs="Times New Roman"/>
          <w:sz w:val="24"/>
          <w:szCs w:val="24"/>
        </w:rPr>
        <w:t xml:space="preserve">prvotno planirani </w:t>
      </w:r>
      <w:r w:rsidRPr="00E60C05">
        <w:rPr>
          <w:rFonts w:ascii="Times New Roman" w:hAnsi="Times New Roman" w:cs="Times New Roman"/>
          <w:sz w:val="24"/>
          <w:szCs w:val="24"/>
        </w:rPr>
        <w:t xml:space="preserve">preneseni višak </w:t>
      </w:r>
      <w:r w:rsidR="005554BF" w:rsidRPr="00E60C05">
        <w:rPr>
          <w:rFonts w:ascii="Times New Roman" w:hAnsi="Times New Roman" w:cs="Times New Roman"/>
          <w:sz w:val="24"/>
          <w:szCs w:val="24"/>
        </w:rPr>
        <w:t>i sada iznosi</w:t>
      </w:r>
      <w:r w:rsidRPr="00E60C05">
        <w:rPr>
          <w:rFonts w:ascii="Times New Roman" w:hAnsi="Times New Roman" w:cs="Times New Roman"/>
          <w:sz w:val="24"/>
          <w:szCs w:val="24"/>
        </w:rPr>
        <w:t xml:space="preserve"> </w:t>
      </w:r>
      <w:r w:rsidR="00AB2464">
        <w:rPr>
          <w:rFonts w:ascii="Times New Roman" w:hAnsi="Times New Roman" w:cs="Times New Roman"/>
          <w:sz w:val="24"/>
          <w:szCs w:val="24"/>
        </w:rPr>
        <w:t>294 806,00</w:t>
      </w:r>
      <w:r w:rsidRPr="00E60C05">
        <w:rPr>
          <w:rFonts w:ascii="Times New Roman" w:hAnsi="Times New Roman" w:cs="Times New Roman"/>
          <w:sz w:val="24"/>
          <w:szCs w:val="24"/>
        </w:rPr>
        <w:t xml:space="preserve"> eura</w:t>
      </w:r>
      <w:r w:rsidR="00897EB0" w:rsidRPr="00E60C05">
        <w:rPr>
          <w:rFonts w:ascii="Times New Roman" w:hAnsi="Times New Roman" w:cs="Times New Roman"/>
          <w:sz w:val="24"/>
          <w:szCs w:val="24"/>
        </w:rPr>
        <w:t xml:space="preserve"> </w:t>
      </w:r>
      <w:r w:rsidR="00AB2464">
        <w:rPr>
          <w:rFonts w:ascii="Times New Roman" w:hAnsi="Times New Roman" w:cs="Times New Roman"/>
          <w:sz w:val="24"/>
          <w:szCs w:val="24"/>
        </w:rPr>
        <w:t>zbog povrata neutrošenih sredstava MPUGDI po investiciji u iznosu 32,41 i povrat sredstava HZZ-u za program javnih radova u iznosu 40,00 eura.</w:t>
      </w:r>
    </w:p>
    <w:p w14:paraId="3A972EBF" w14:textId="77777777" w:rsidR="0071536E" w:rsidRPr="00E60C05" w:rsidRDefault="0071536E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8C0C6" w14:textId="716B4085" w:rsidR="005554BF" w:rsidRDefault="00075078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>RASHODI I IZDACI</w:t>
      </w:r>
    </w:p>
    <w:p w14:paraId="611C1B9E" w14:textId="77777777" w:rsidR="003037F5" w:rsidRPr="00E60C05" w:rsidRDefault="003037F5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ABA51" w14:textId="3A6124E7" w:rsidR="00234625" w:rsidRPr="00E60C05" w:rsidRDefault="00075078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 xml:space="preserve">U planiranim rashodima i izdacima </w:t>
      </w:r>
      <w:r w:rsidR="00B635AE" w:rsidRPr="00E60C05">
        <w:rPr>
          <w:rFonts w:ascii="Times New Roman" w:hAnsi="Times New Roman" w:cs="Times New Roman"/>
          <w:sz w:val="24"/>
          <w:szCs w:val="24"/>
        </w:rPr>
        <w:t xml:space="preserve">Posebnog </w:t>
      </w:r>
      <w:r w:rsidRPr="00E60C05">
        <w:rPr>
          <w:rFonts w:ascii="Times New Roman" w:hAnsi="Times New Roman" w:cs="Times New Roman"/>
          <w:sz w:val="24"/>
          <w:szCs w:val="24"/>
        </w:rPr>
        <w:t xml:space="preserve">dijela Rebalansa mijenjaju se </w:t>
      </w:r>
      <w:r w:rsidR="005554BF" w:rsidRPr="00E60C05">
        <w:rPr>
          <w:rFonts w:ascii="Times New Roman" w:hAnsi="Times New Roman" w:cs="Times New Roman"/>
          <w:sz w:val="24"/>
          <w:szCs w:val="24"/>
        </w:rPr>
        <w:t>sljedeće stavke</w:t>
      </w:r>
      <w:r w:rsidRPr="00E60C05">
        <w:rPr>
          <w:rFonts w:ascii="Times New Roman" w:hAnsi="Times New Roman" w:cs="Times New Roman"/>
          <w:sz w:val="24"/>
          <w:szCs w:val="24"/>
        </w:rPr>
        <w:t>, kako slijedi:</w:t>
      </w:r>
    </w:p>
    <w:p w14:paraId="0625C10A" w14:textId="77777777" w:rsidR="0071536E" w:rsidRPr="00E60C05" w:rsidRDefault="0071536E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0"/>
        <w:gridCol w:w="1336"/>
        <w:gridCol w:w="5340"/>
        <w:gridCol w:w="1544"/>
        <w:gridCol w:w="1524"/>
        <w:gridCol w:w="1332"/>
        <w:gridCol w:w="1438"/>
      </w:tblGrid>
      <w:tr w:rsidR="00900E8C" w:rsidRPr="00E60C05" w14:paraId="59238A78" w14:textId="77777777" w:rsidTr="002D7F93">
        <w:trPr>
          <w:trHeight w:val="205"/>
        </w:trPr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E01AD6" w14:textId="77777777" w:rsidR="00900E8C" w:rsidRPr="00E60C05" w:rsidRDefault="00900E8C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POZICIJA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7264B4" w14:textId="77777777" w:rsidR="00900E8C" w:rsidRPr="00E60C05" w:rsidRDefault="00900E8C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BROJ KONTA</w:t>
            </w:r>
          </w:p>
        </w:tc>
        <w:tc>
          <w:tcPr>
            <w:tcW w:w="609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8E0284" w14:textId="77777777" w:rsidR="00900E8C" w:rsidRPr="00E60C05" w:rsidRDefault="00900E8C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VRSTA RASHODA / IZDATAKA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03537A" w14:textId="77777777" w:rsidR="00900E8C" w:rsidRPr="00E60C05" w:rsidRDefault="00900E8C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PLANIRANO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63AC6" w14:textId="77777777" w:rsidR="00900E8C" w:rsidRPr="00E60C05" w:rsidRDefault="00900E8C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PROMJENA IZNOS</w:t>
            </w:r>
          </w:p>
        </w:tc>
        <w:tc>
          <w:tcPr>
            <w:tcW w:w="127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299466" w14:textId="77777777" w:rsidR="00900E8C" w:rsidRPr="00E60C05" w:rsidRDefault="00900E8C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PROMJENA (%)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2ED810" w14:textId="77777777" w:rsidR="00900E8C" w:rsidRPr="00E60C05" w:rsidRDefault="00900E8C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NOVI IZNOS</w:t>
            </w:r>
          </w:p>
        </w:tc>
      </w:tr>
    </w:tbl>
    <w:p w14:paraId="55F7033B" w14:textId="43D4557B" w:rsidR="0071536E" w:rsidRPr="00E60C05" w:rsidRDefault="0071536E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405" w:type="dxa"/>
        <w:tblLook w:val="04A0" w:firstRow="1" w:lastRow="0" w:firstColumn="1" w:lastColumn="0" w:noHBand="0" w:noVBand="1"/>
      </w:tblPr>
      <w:tblGrid>
        <w:gridCol w:w="14276"/>
        <w:gridCol w:w="7069"/>
        <w:gridCol w:w="1360"/>
        <w:gridCol w:w="2000"/>
        <w:gridCol w:w="1360"/>
        <w:gridCol w:w="1340"/>
      </w:tblGrid>
      <w:tr w:rsidR="005554BF" w:rsidRPr="00E60C05" w14:paraId="40472D47" w14:textId="77777777" w:rsidTr="00D6208A">
        <w:trPr>
          <w:trHeight w:val="255"/>
        </w:trPr>
        <w:tc>
          <w:tcPr>
            <w:tcW w:w="1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"/>
              <w:gridCol w:w="1315"/>
              <w:gridCol w:w="5566"/>
              <w:gridCol w:w="1511"/>
              <w:gridCol w:w="1483"/>
              <w:gridCol w:w="1183"/>
              <w:gridCol w:w="1511"/>
            </w:tblGrid>
            <w:tr w:rsidR="00664F2B" w:rsidRPr="00E60C05" w14:paraId="1CC4D1A1" w14:textId="77777777" w:rsidTr="002D7F93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C52F1" w14:textId="77777777" w:rsidR="00900E8C" w:rsidRPr="00E60C05" w:rsidRDefault="00900E8C" w:rsidP="00900E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6D420" w14:textId="77777777" w:rsidR="00900E8C" w:rsidRPr="00E60C05" w:rsidRDefault="00900E8C" w:rsidP="00900E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48AAC" w14:textId="77777777" w:rsidR="00900E8C" w:rsidRPr="00E60C05" w:rsidRDefault="00900E8C" w:rsidP="00900E8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REDOVNA DJELATNOST OPĆINSKIH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8A10E" w14:textId="4F121FC6" w:rsidR="00900E8C" w:rsidRPr="00E60C05" w:rsidRDefault="00664F2B" w:rsidP="00900E8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275.635</w:t>
                  </w:r>
                  <w:r w:rsidR="00900E8C"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7753E" w14:textId="412C7D99" w:rsidR="00900E8C" w:rsidRPr="00E60C05" w:rsidRDefault="00C754AC" w:rsidP="00900E8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  <w:r w:rsidR="000C25BD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.900</w:t>
                  </w:r>
                  <w:r w:rsidR="00900E8C"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9BF97" w14:textId="6905FA58" w:rsidR="00900E8C" w:rsidRPr="00E60C05" w:rsidRDefault="000C25BD" w:rsidP="00900E8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3.</w:t>
                  </w:r>
                  <w:r w:rsidR="00C754AC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7C531" w14:textId="0AA755E6" w:rsidR="00900E8C" w:rsidRPr="00E60C05" w:rsidRDefault="00664F2B" w:rsidP="00900E8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28</w:t>
                  </w:r>
                  <w:r w:rsidR="00C754AC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.535</w:t>
                  </w:r>
                  <w:r w:rsidR="00900E8C"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</w:tbl>
          <w:p w14:paraId="714F556C" w14:textId="23EBAFC3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D02A7" w14:textId="7C93E3CF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823B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91.857,00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E8CD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D25F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4E71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95.857,00</w:t>
            </w:r>
          </w:p>
        </w:tc>
      </w:tr>
      <w:tr w:rsidR="005554BF" w:rsidRPr="00E60C05" w14:paraId="540FC358" w14:textId="77777777" w:rsidTr="00D6208A">
        <w:trPr>
          <w:trHeight w:val="255"/>
        </w:trPr>
        <w:tc>
          <w:tcPr>
            <w:tcW w:w="1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0C9AC" w14:textId="23C28743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58CE7" w14:textId="50976CF7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1CFC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88.757,00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C9AF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2C1E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6A2B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92.757,00</w:t>
            </w:r>
          </w:p>
        </w:tc>
      </w:tr>
      <w:tr w:rsidR="005554BF" w:rsidRPr="00E60C05" w14:paraId="2A33AA4D" w14:textId="77777777" w:rsidTr="00D6208A">
        <w:trPr>
          <w:trHeight w:val="255"/>
        </w:trPr>
        <w:tc>
          <w:tcPr>
            <w:tcW w:w="1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071F2" w14:textId="70628694" w:rsidR="00664F2B" w:rsidRPr="00664F2B" w:rsidRDefault="00900E8C" w:rsidP="0066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programu je planirana preraspodjela između pojedinih stavki prema dosadašnjem izvršenju</w:t>
            </w:r>
            <w:r w:rsid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 Mijenja se planirani iznos za zaposlene iz razloga što ova proračunska godina uključuje trinaest  plaća prema U</w:t>
            </w:r>
            <w:r w:rsidR="00664F2B"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put</w:t>
            </w:r>
            <w:r w:rsid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ama</w:t>
            </w:r>
            <w:r w:rsidR="00664F2B"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za izradu proračuna</w:t>
            </w:r>
            <w:r w:rsid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664F2B"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jedinica lokalne i područne (regionalne) samouprave</w:t>
            </w:r>
          </w:p>
          <w:p w14:paraId="06697E9D" w14:textId="2093D703" w:rsidR="00664F2B" w:rsidRPr="00664F2B" w:rsidRDefault="00664F2B" w:rsidP="0066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razdoblje 2025. - 2027.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Ministarstva financija   za j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edinice lokalne i područne (regionalne) samouprave i proračunsk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i izvanproračunsk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</w:t>
            </w:r>
          </w:p>
          <w:p w14:paraId="3917CD79" w14:textId="68222FE2" w:rsidR="00664F2B" w:rsidRPr="00E60C05" w:rsidRDefault="00664F2B" w:rsidP="0066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korisni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ke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proračuna jedinica lokalne i područne (regionalne) samouprave koje su koristili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podskupinu 193</w:t>
            </w:r>
            <w:r w:rsidR="0030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Kontinuirani rashodi budućih razdoblja za iskazivanje rashoda 12.</w:t>
            </w:r>
            <w:r w:rsidR="0030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mjeseca</w:t>
            </w:r>
            <w:r w:rsidR="000C25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 Z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bog ukidanja ove podskupine od 1. siječnja 2025., prilikom planiranja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navedenih rashoda za 2025. godinu planir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aju se 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i rashod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 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12. mjesec 2025. Slijedom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toga, u prijelaznoj 2025. </w:t>
            </w:r>
            <w:r w:rsidR="0030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godini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</w:t>
            </w:r>
            <w:r w:rsidR="0030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u 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proračun</w:t>
            </w:r>
            <w:r w:rsidR="00C75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u je 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planirano</w:t>
            </w:r>
            <w:r w:rsidR="00C75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trinaest rashoda (rashodi za 12.2024. i za </w:t>
            </w:r>
            <w:r w:rsidR="0030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razdoblje </w:t>
            </w:r>
            <w:r w:rsidRPr="00664F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1.2025. - 12.2025.).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Kako je tijekom godine </w:t>
            </w:r>
            <w:r w:rsidR="00C75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došlo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 promjena koeficijenata za plaće tako je bilo potrebno povećati planirani iznos.</w:t>
            </w:r>
          </w:p>
          <w:p w14:paraId="7BC5EAFF" w14:textId="5DEE8A69" w:rsidR="00B66951" w:rsidRPr="00E60C05" w:rsidRDefault="00B66951" w:rsidP="00664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52548" w14:textId="5C3C27CE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23AE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88.757,00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B30A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3E9B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8E16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92.757,00</w:t>
            </w:r>
          </w:p>
        </w:tc>
      </w:tr>
      <w:tr w:rsidR="005554BF" w:rsidRPr="00E60C05" w14:paraId="325140F3" w14:textId="77777777" w:rsidTr="00D6208A">
        <w:trPr>
          <w:trHeight w:val="255"/>
        </w:trPr>
        <w:tc>
          <w:tcPr>
            <w:tcW w:w="1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E5F36" w14:textId="77777777" w:rsidR="00900E8C" w:rsidRPr="00E60C05" w:rsidRDefault="00900E8C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B190A51" w14:textId="0C40C22E" w:rsidR="005554BF" w:rsidRPr="00E60C05" w:rsidRDefault="00B66951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D7DB3" w14:textId="0ACFEF24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FF50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7E40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1D16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BE8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3.100,00</w:t>
            </w:r>
          </w:p>
        </w:tc>
      </w:tr>
      <w:tr w:rsidR="005554BF" w:rsidRPr="00E60C05" w14:paraId="70E50936" w14:textId="77777777" w:rsidTr="00D6208A">
        <w:trPr>
          <w:trHeight w:val="255"/>
        </w:trPr>
        <w:tc>
          <w:tcPr>
            <w:tcW w:w="1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5"/>
              <w:gridCol w:w="1315"/>
              <w:gridCol w:w="5623"/>
              <w:gridCol w:w="1488"/>
              <w:gridCol w:w="1479"/>
              <w:gridCol w:w="1192"/>
              <w:gridCol w:w="1488"/>
            </w:tblGrid>
            <w:tr w:rsidR="0099533B" w:rsidRPr="00E60C05" w14:paraId="388B8BD5" w14:textId="77777777" w:rsidTr="0099533B">
              <w:trPr>
                <w:trHeight w:val="226"/>
              </w:trPr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180C" w14:textId="77777777" w:rsidR="0099533B" w:rsidRPr="00E60C05" w:rsidRDefault="0099533B" w:rsidP="009953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Program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D61CD" w14:textId="77777777" w:rsidR="0099533B" w:rsidRPr="00E60C05" w:rsidRDefault="0099533B" w:rsidP="009953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5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D95FD" w14:textId="77777777" w:rsidR="0099533B" w:rsidRPr="00E60C05" w:rsidRDefault="0099533B" w:rsidP="009953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KOMUNALNA INFRASTRUKTURA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004AB" w14:textId="3F3F2B70" w:rsidR="0099533B" w:rsidRPr="00E60C05" w:rsidRDefault="000C25BD" w:rsidP="0099533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639.201</w:t>
                  </w:r>
                  <w:r w:rsidR="0099533B"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FFFF1" w14:textId="42717077" w:rsidR="0099533B" w:rsidRPr="00E60C05" w:rsidRDefault="000C25BD" w:rsidP="0099533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  <w:r w:rsidR="00C754AC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55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.235</w:t>
                  </w:r>
                  <w:r w:rsidR="0099533B"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A913" w14:textId="6B1D387E" w:rsidR="0099533B" w:rsidRPr="00E60C05" w:rsidRDefault="000C25BD" w:rsidP="0099533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  <w:r w:rsidR="00C754AC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8.64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26B9" w14:textId="79F28847" w:rsidR="0099533B" w:rsidRPr="00E60C05" w:rsidRDefault="00C754AC" w:rsidP="0099533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583</w:t>
                  </w:r>
                  <w:r w:rsidR="000C25BD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.966</w:t>
                  </w:r>
                  <w:r w:rsidR="008E09B3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99533B" w:rsidRPr="00E60C05" w14:paraId="079D7ABD" w14:textId="77777777" w:rsidTr="0099533B">
              <w:trPr>
                <w:trHeight w:val="226"/>
              </w:trPr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E12F9" w14:textId="77777777" w:rsidR="0099533B" w:rsidRPr="00E60C05" w:rsidRDefault="0099533B" w:rsidP="0099533B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AA071" w14:textId="77777777" w:rsidR="0099533B" w:rsidRPr="00E60C05" w:rsidRDefault="0099533B" w:rsidP="0099533B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9DB8D" w14:textId="77777777" w:rsidR="0099533B" w:rsidRPr="00E60C05" w:rsidRDefault="0099533B" w:rsidP="0099533B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89B85" w14:textId="77777777" w:rsidR="0099533B" w:rsidRPr="00E60C05" w:rsidRDefault="0099533B" w:rsidP="0099533B">
                  <w:pPr>
                    <w:spacing w:after="0" w:line="240" w:lineRule="auto"/>
                    <w:jc w:val="right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31B5A" w14:textId="77777777" w:rsidR="0099533B" w:rsidRPr="00E60C05" w:rsidRDefault="0099533B" w:rsidP="0099533B">
                  <w:pPr>
                    <w:spacing w:after="0" w:line="240" w:lineRule="auto"/>
                    <w:jc w:val="right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D23F6" w14:textId="77777777" w:rsidR="0099533B" w:rsidRPr="00E60C05" w:rsidRDefault="0099533B" w:rsidP="0099533B">
                  <w:pPr>
                    <w:spacing w:after="0" w:line="240" w:lineRule="auto"/>
                    <w:jc w:val="right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96D27" w14:textId="77777777" w:rsidR="0099533B" w:rsidRPr="00E60C05" w:rsidRDefault="0099533B" w:rsidP="0099533B">
                  <w:pPr>
                    <w:spacing w:after="0" w:line="240" w:lineRule="auto"/>
                    <w:jc w:val="right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75ADB64" w14:textId="2D1EAEF3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F6000" w14:textId="77777777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29D38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6302D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32F72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0276B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554BF" w:rsidRPr="00E60C05" w14:paraId="2FA59AF7" w14:textId="77777777" w:rsidTr="00D6208A">
        <w:trPr>
          <w:trHeight w:val="703"/>
        </w:trPr>
        <w:tc>
          <w:tcPr>
            <w:tcW w:w="1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53581" w14:textId="0C76D054" w:rsidR="00DE60C7" w:rsidRPr="00E60C05" w:rsidRDefault="00DE60C7" w:rsidP="00DE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3117949"/>
            <w:r w:rsidRPr="00E60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Općina Ružić je tijekom prvog kvartala ove godine aplicir</w:t>
            </w:r>
            <w:r w:rsidR="00096FCA" w:rsidRPr="00E60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ala</w:t>
            </w:r>
            <w:r w:rsidRPr="00E60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 različite javne pozive i natječaje ministarstava i drugih javnih subjekata</w:t>
            </w:r>
            <w:r w:rsidR="00096FCA" w:rsidRPr="00E60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0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za kapitalne projekte u 2025. godini </w:t>
            </w:r>
            <w:r w:rsidR="00096FCA" w:rsidRPr="00E60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 </w:t>
            </w:r>
            <w:r w:rsidR="000C2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 projekti</w:t>
            </w:r>
            <w:r w:rsidR="00147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za koje su dodijeljena sredstva </w:t>
            </w:r>
            <w:r w:rsidR="000C2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većim djelom završeni</w:t>
            </w:r>
            <w:r w:rsidR="001471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0C2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stoga </w:t>
            </w:r>
            <w:r w:rsidR="003037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</w:t>
            </w:r>
            <w:r w:rsidR="000C2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rebalansom  umanjeni iznosi više planiranih sredstava. Također nije došlo do realizacije programa javnih radova zbog neodgovarajućih uvjeta</w:t>
            </w:r>
            <w:r w:rsidR="00D92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sufinanciranja za </w:t>
            </w:r>
            <w:r w:rsidR="000C25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Općinu.</w:t>
            </w:r>
          </w:p>
          <w:p w14:paraId="2F51F651" w14:textId="4F6AE71C" w:rsidR="005554BF" w:rsidRPr="00E60C05" w:rsidRDefault="005554BF" w:rsidP="00DE6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351F8" w14:textId="45AB15AA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A169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1EF9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0A88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AF3D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</w:tr>
      <w:bookmarkEnd w:id="0"/>
      <w:tr w:rsidR="005554BF" w:rsidRPr="00E60C05" w14:paraId="69F6E81E" w14:textId="77777777" w:rsidTr="00D6208A">
        <w:trPr>
          <w:trHeight w:val="255"/>
        </w:trPr>
        <w:tc>
          <w:tcPr>
            <w:tcW w:w="1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6CD78" w14:textId="190819B0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56954" w14:textId="5330FA88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BBB8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5397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A837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1016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</w:tr>
      <w:tr w:rsidR="005554BF" w:rsidRPr="00E60C05" w14:paraId="1CA7CEE4" w14:textId="77777777" w:rsidTr="00D6208A">
        <w:trPr>
          <w:trHeight w:val="255"/>
        </w:trPr>
        <w:tc>
          <w:tcPr>
            <w:tcW w:w="1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FF794" w14:textId="6A0D12FA" w:rsidR="005554BF" w:rsidRPr="00E60C05" w:rsidRDefault="00366880" w:rsidP="00715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3FB6ED68" w14:textId="4DA060E6" w:rsidR="00366880" w:rsidRPr="00E60C05" w:rsidRDefault="00366880" w:rsidP="00715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E7A75" w14:textId="48E71F62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C5E1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0762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E862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D0C4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</w:tr>
      <w:tr w:rsidR="005554BF" w:rsidRPr="00E60C05" w14:paraId="28A597AE" w14:textId="77777777" w:rsidTr="00D6208A">
        <w:trPr>
          <w:trHeight w:val="255"/>
        </w:trPr>
        <w:tc>
          <w:tcPr>
            <w:tcW w:w="1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8"/>
              <w:gridCol w:w="1309"/>
              <w:gridCol w:w="5558"/>
              <w:gridCol w:w="1509"/>
              <w:gridCol w:w="1494"/>
              <w:gridCol w:w="1193"/>
              <w:gridCol w:w="1509"/>
            </w:tblGrid>
            <w:tr w:rsidR="00366880" w:rsidRPr="00E60C05" w14:paraId="69061776" w14:textId="77777777" w:rsidTr="00366880">
              <w:trPr>
                <w:trHeight w:val="226"/>
              </w:trPr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944D2" w14:textId="77777777" w:rsidR="00366880" w:rsidRPr="00E60C05" w:rsidRDefault="00366880" w:rsidP="003668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Program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21890" w14:textId="77777777" w:rsidR="00366880" w:rsidRPr="00E60C05" w:rsidRDefault="00366880" w:rsidP="003668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1003</w:t>
                  </w:r>
                </w:p>
              </w:tc>
              <w:tc>
                <w:tcPr>
                  <w:tcW w:w="5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511D9" w14:textId="77777777" w:rsidR="00366880" w:rsidRPr="00E60C05" w:rsidRDefault="00366880" w:rsidP="003668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PREDŠKOLSKI ODGOJ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7AE4" w14:textId="0C82BC29" w:rsidR="00366880" w:rsidRPr="00E60C05" w:rsidRDefault="000C25BD" w:rsidP="0036688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230.200</w:t>
                  </w:r>
                  <w:r w:rsidR="00366880"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93421" w14:textId="6FCB934D" w:rsidR="00366880" w:rsidRPr="00E60C05" w:rsidRDefault="000C25BD" w:rsidP="0036688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-10.000</w:t>
                  </w:r>
                  <w:r w:rsidR="00366880"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8B6A" w14:textId="5DE84721" w:rsidR="00366880" w:rsidRPr="00E60C05" w:rsidRDefault="000C25BD" w:rsidP="0036688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-4.34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E288A" w14:textId="4808783C" w:rsidR="00366880" w:rsidRPr="00E60C05" w:rsidRDefault="008E09B3" w:rsidP="0036688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0C25BD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0.200</w:t>
                  </w:r>
                  <w:r w:rsidR="00366880"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</w:tbl>
          <w:p w14:paraId="5A447280" w14:textId="77777777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CB8B294" w14:textId="294F1685" w:rsidR="00D6208A" w:rsidRPr="00E60C05" w:rsidRDefault="00D6208A" w:rsidP="000C2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U okviru programa je </w:t>
            </w:r>
            <w:r w:rsidR="000C25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smanjena </w:t>
            </w: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stavka za Dječji vrtić Gradac </w:t>
            </w:r>
            <w:r w:rsidR="000C25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prema dosadašnjem izvršenju.</w:t>
            </w: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7C8FC" w14:textId="0D8F1D0B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30B5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5C55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F4C9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7693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</w:tr>
      <w:tr w:rsidR="005554BF" w:rsidRPr="00E60C05" w14:paraId="2323EC14" w14:textId="77777777" w:rsidTr="00D6208A">
        <w:trPr>
          <w:trHeight w:val="255"/>
        </w:trPr>
        <w:tc>
          <w:tcPr>
            <w:tcW w:w="1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A38DA" w14:textId="77777777" w:rsidR="005554BF" w:rsidRPr="00E60C05" w:rsidRDefault="00366880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60C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1323"/>
              <w:gridCol w:w="5577"/>
              <w:gridCol w:w="1515"/>
              <w:gridCol w:w="1443"/>
              <w:gridCol w:w="1190"/>
              <w:gridCol w:w="1515"/>
            </w:tblGrid>
            <w:tr w:rsidR="004E31FE" w:rsidRPr="00E60C05" w14:paraId="7155D9B0" w14:textId="77777777" w:rsidTr="002D7F93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89212" w14:textId="77777777" w:rsidR="00D6208A" w:rsidRPr="00E60C05" w:rsidRDefault="00D6208A" w:rsidP="00D620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8800D" w14:textId="77777777" w:rsidR="00D6208A" w:rsidRPr="00E60C05" w:rsidRDefault="00D6208A" w:rsidP="00D620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53F73" w14:textId="77777777" w:rsidR="00D6208A" w:rsidRPr="00E60C05" w:rsidRDefault="00D6208A" w:rsidP="00D620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OBNOVA I UREĐENJE OBJEKATA U OPĆINI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F89E" w14:textId="7EDF6887" w:rsidR="00D6208A" w:rsidRPr="00E60C05" w:rsidRDefault="004E31FE" w:rsidP="00D620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132.839</w:t>
                  </w:r>
                  <w:r w:rsidR="00D6208A"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19712" w14:textId="7EDDD21E" w:rsidR="00D6208A" w:rsidRPr="00E60C05" w:rsidRDefault="004E31FE" w:rsidP="00D620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D66EE" w14:textId="32DD0591" w:rsidR="00D6208A" w:rsidRPr="00E60C05" w:rsidRDefault="004E31FE" w:rsidP="00D620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286B0" w14:textId="77777777" w:rsidR="00D6208A" w:rsidRPr="00E60C05" w:rsidRDefault="00D6208A" w:rsidP="00D620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0C05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132.839,00</w:t>
                  </w:r>
                </w:p>
              </w:tc>
            </w:tr>
          </w:tbl>
          <w:p w14:paraId="1F159E80" w14:textId="7C6A909D" w:rsidR="00D6208A" w:rsidRPr="00E60C05" w:rsidRDefault="00D6208A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E5517" w14:textId="77777777" w:rsidR="005554BF" w:rsidRPr="00E60C05" w:rsidRDefault="005554BF" w:rsidP="007153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31CDB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70507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8C6F7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5E15F" w14:textId="77777777" w:rsidR="005554BF" w:rsidRPr="00E60C05" w:rsidRDefault="005554BF" w:rsidP="00715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4D5808AB" w14:textId="77777777" w:rsidR="0068137C" w:rsidRPr="00E60C05" w:rsidRDefault="0068137C" w:rsidP="007153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ACE4A4" w14:textId="620849DF" w:rsidR="00247569" w:rsidRDefault="000C25BD" w:rsidP="007153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Rashodi </w:t>
      </w:r>
      <w:r w:rsidR="00F773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programu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ostaju  prema</w:t>
      </w:r>
      <w:r w:rsidR="00F773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prethodnom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planu.</w:t>
      </w:r>
    </w:p>
    <w:p w14:paraId="4991DD75" w14:textId="77777777" w:rsidR="003037F5" w:rsidRPr="00E60C05" w:rsidRDefault="003037F5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1310"/>
        <w:gridCol w:w="5515"/>
        <w:gridCol w:w="1509"/>
        <w:gridCol w:w="1494"/>
        <w:gridCol w:w="1178"/>
        <w:gridCol w:w="1509"/>
      </w:tblGrid>
      <w:tr w:rsidR="00C754AC" w:rsidRPr="00E60C05" w14:paraId="44964D44" w14:textId="77777777" w:rsidTr="002D7F93">
        <w:trPr>
          <w:trHeight w:val="226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8D4DFF" w14:textId="77777777" w:rsidR="00247569" w:rsidRPr="00E60C05" w:rsidRDefault="00247569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F5FDC9" w14:textId="77777777" w:rsidR="00247569" w:rsidRPr="00E60C05" w:rsidRDefault="00247569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5F32A" w14:textId="77777777" w:rsidR="00247569" w:rsidRPr="00E60C05" w:rsidRDefault="00247569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SOCIJALNA ZAŠTITA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1E88B8" w14:textId="5DF6E242" w:rsidR="00247569" w:rsidRPr="00E60C05" w:rsidRDefault="00247569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0C25B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78</w:t>
            </w: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6FDB6D" w14:textId="1B12FAFD" w:rsidR="00247569" w:rsidRPr="00E60C05" w:rsidRDefault="00C754AC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35.700</w:t>
            </w:r>
            <w:r w:rsidR="00247569"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41C39C" w14:textId="734A8DE8" w:rsidR="00247569" w:rsidRPr="00E60C05" w:rsidRDefault="00C754AC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7.46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F9F770" w14:textId="6A13BB7E" w:rsidR="00247569" w:rsidRPr="00E60C05" w:rsidRDefault="00C754AC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514.450</w:t>
            </w:r>
            <w:r w:rsidR="00247569"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14:paraId="0D873624" w14:textId="77777777" w:rsidR="00247569" w:rsidRPr="00E60C05" w:rsidRDefault="00247569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0F2D4" w14:textId="3A3E6F19" w:rsidR="00247569" w:rsidRPr="00E60C05" w:rsidRDefault="000C25BD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 </w:t>
      </w:r>
      <w:r w:rsidRPr="004E31FE">
        <w:rPr>
          <w:rFonts w:ascii="Times New Roman" w:hAnsi="Times New Roman" w:cs="Times New Roman"/>
          <w:b/>
          <w:bCs/>
          <w:sz w:val="24"/>
          <w:szCs w:val="24"/>
        </w:rPr>
        <w:t>aktivnosti</w:t>
      </w:r>
      <w:r>
        <w:rPr>
          <w:rFonts w:ascii="Times New Roman" w:hAnsi="Times New Roman" w:cs="Times New Roman"/>
          <w:sz w:val="24"/>
          <w:szCs w:val="24"/>
        </w:rPr>
        <w:t xml:space="preserve"> stimulativnih potpora došlo je do preraspodjele između stavku prema dosadašnjem izvršenju.</w:t>
      </w:r>
    </w:p>
    <w:p w14:paraId="1266E6C3" w14:textId="22EEB34C" w:rsidR="0068137C" w:rsidRPr="000C25BD" w:rsidRDefault="0068137C" w:rsidP="00715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  <w:r w:rsidRPr="000C25BD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 xml:space="preserve">U aktivnosti: Sufinanciranje troškova prijevoza u javnom prometu mijenja se prvotno planirani iznos i sada glasi </w:t>
      </w:r>
      <w:r w:rsidR="001471D4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>120</w:t>
      </w:r>
      <w:r w:rsidRPr="000C25BD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>.000,00 eura.</w:t>
      </w:r>
      <w:r w:rsidR="00853EE3" w:rsidRPr="000C25BD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 xml:space="preserve"> Budući da </w:t>
      </w:r>
      <w:r w:rsidR="00C754A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>do sada nisu regulirani odnosi između županija po pitanju linijskog prijevoza kako je planirano, a prijevoznik „Promet“ je slao razlike po kvartalnim obračunima</w:t>
      </w:r>
      <w:r w:rsidR="00AF09F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 xml:space="preserve"> prema neto financijskim učincima</w:t>
      </w:r>
      <w:r w:rsidR="00C754A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 xml:space="preserve"> pored već utvrđenim mjesečnih </w:t>
      </w:r>
      <w:r w:rsidR="00AF09F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>rata</w:t>
      </w:r>
      <w:r w:rsidR="00C754A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 xml:space="preserve">, bilo je potrebno </w:t>
      </w:r>
      <w:r w:rsidR="00AF09F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 xml:space="preserve">raskinuti ugovor i </w:t>
      </w:r>
      <w:r w:rsidR="00C754A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>dodatno povećati planirane iznose</w:t>
      </w:r>
      <w:r w:rsidR="00AF09F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  <w:t>.</w:t>
      </w:r>
    </w:p>
    <w:p w14:paraId="46FFFB6D" w14:textId="77777777" w:rsidR="00247569" w:rsidRPr="000C25BD" w:rsidRDefault="00247569" w:rsidP="00715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1319"/>
        <w:gridCol w:w="5539"/>
        <w:gridCol w:w="1513"/>
        <w:gridCol w:w="1438"/>
        <w:gridCol w:w="1186"/>
        <w:gridCol w:w="1513"/>
      </w:tblGrid>
      <w:tr w:rsidR="00247569" w:rsidRPr="00E60C05" w14:paraId="0C6002E3" w14:textId="77777777" w:rsidTr="002D7F93">
        <w:trPr>
          <w:trHeight w:val="226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639E77" w14:textId="77777777" w:rsidR="00247569" w:rsidRPr="00E60C05" w:rsidRDefault="00247569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C312F9" w14:textId="77777777" w:rsidR="00247569" w:rsidRPr="00E60C05" w:rsidRDefault="00247569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BBA8D4" w14:textId="77777777" w:rsidR="00247569" w:rsidRPr="00E60C05" w:rsidRDefault="00247569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JAVNE POTREBE U SPORTU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48CD11" w14:textId="77777777" w:rsidR="00247569" w:rsidRPr="00E60C05" w:rsidRDefault="00247569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325.140,00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EFEF59" w14:textId="77777777" w:rsidR="00247569" w:rsidRPr="00E60C05" w:rsidRDefault="00247569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BE11EF" w14:textId="77777777" w:rsidR="00247569" w:rsidRPr="00E60C05" w:rsidRDefault="00247569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C2C72E" w14:textId="77777777" w:rsidR="00247569" w:rsidRPr="00E60C05" w:rsidRDefault="00247569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325.140,00</w:t>
            </w:r>
          </w:p>
        </w:tc>
      </w:tr>
    </w:tbl>
    <w:p w14:paraId="4B896E83" w14:textId="77777777" w:rsidR="00247569" w:rsidRPr="00E60C05" w:rsidRDefault="00247569" w:rsidP="007153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59A7B5A" w14:textId="78D755CA" w:rsidR="00F7737E" w:rsidRDefault="00247569" w:rsidP="00F773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215827751"/>
      <w:r w:rsidRPr="00E60C05">
        <w:rPr>
          <w:rFonts w:ascii="Times New Roman" w:hAnsi="Times New Roman" w:cs="Times New Roman"/>
          <w:sz w:val="24"/>
          <w:szCs w:val="24"/>
        </w:rPr>
        <w:t xml:space="preserve"> </w:t>
      </w:r>
      <w:r w:rsidR="00F773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Rashodi u programu ostaju  prema prethodnom planu.</w:t>
      </w:r>
    </w:p>
    <w:bookmarkEnd w:id="1"/>
    <w:p w14:paraId="07CF2EAE" w14:textId="527AF367" w:rsidR="001874A4" w:rsidRPr="00E60C05" w:rsidRDefault="001874A4" w:rsidP="0071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3631A" w14:textId="77777777" w:rsidR="005554BF" w:rsidRPr="00E60C05" w:rsidRDefault="005554BF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B2F7F" w14:textId="77777777" w:rsidR="005F1912" w:rsidRPr="00E60C05" w:rsidRDefault="005F1912" w:rsidP="005F1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1313"/>
        <w:gridCol w:w="5546"/>
        <w:gridCol w:w="1496"/>
        <w:gridCol w:w="1481"/>
        <w:gridCol w:w="1181"/>
        <w:gridCol w:w="1496"/>
      </w:tblGrid>
      <w:tr w:rsidR="000D6207" w:rsidRPr="00E60C05" w14:paraId="20702A11" w14:textId="77777777" w:rsidTr="002D7F93">
        <w:trPr>
          <w:trHeight w:val="226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79EFF4" w14:textId="77777777" w:rsidR="005F1912" w:rsidRPr="00E60C05" w:rsidRDefault="005F1912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F75528" w14:textId="77777777" w:rsidR="005F1912" w:rsidRPr="00E60C05" w:rsidRDefault="005F1912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8AC07E" w14:textId="77777777" w:rsidR="005F1912" w:rsidRPr="00E60C05" w:rsidRDefault="005F1912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ZAŠTITA OD POŽARA I SUSTAV ZAŠTITE I SPAŠAVANJA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0756E6" w14:textId="54E3AE74" w:rsidR="005F1912" w:rsidRPr="00E60C05" w:rsidRDefault="000D6207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92</w:t>
            </w:r>
            <w:r w:rsidR="005F1912"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9D8714" w14:textId="21D5B358" w:rsidR="005F1912" w:rsidRPr="00E60C05" w:rsidRDefault="000D6207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5.000</w:t>
            </w:r>
            <w:r w:rsidR="005F1912"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53D5B8" w14:textId="4C55E6C2" w:rsidR="005F1912" w:rsidRPr="00E60C05" w:rsidRDefault="000D6207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5.43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3ACA50" w14:textId="79B53E1B" w:rsidR="005F1912" w:rsidRPr="00E60C05" w:rsidRDefault="000D6207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97.000</w:t>
            </w:r>
            <w:r w:rsidR="005F1912"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14:paraId="55B7114D" w14:textId="32B388FD" w:rsidR="005554BF" w:rsidRPr="00E60C05" w:rsidRDefault="005554BF" w:rsidP="005F1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45654" w14:textId="0FFD890D" w:rsidR="0068137C" w:rsidRPr="00E60C05" w:rsidRDefault="0068137C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F6D00" w14:textId="77777777" w:rsidR="001874A4" w:rsidRPr="00E60C05" w:rsidRDefault="001874A4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E1AAE" w14:textId="0B48FFC4" w:rsidR="00A036FF" w:rsidRPr="00E60C05" w:rsidRDefault="005F1912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 xml:space="preserve"> U programu je </w:t>
      </w:r>
      <w:r w:rsidR="000D6207">
        <w:rPr>
          <w:rFonts w:ascii="Times New Roman" w:hAnsi="Times New Roman" w:cs="Times New Roman"/>
          <w:sz w:val="24"/>
          <w:szCs w:val="24"/>
        </w:rPr>
        <w:t>povećan</w:t>
      </w:r>
      <w:r w:rsidRPr="00E60C05">
        <w:rPr>
          <w:rFonts w:ascii="Times New Roman" w:hAnsi="Times New Roman" w:cs="Times New Roman"/>
          <w:sz w:val="24"/>
          <w:szCs w:val="24"/>
        </w:rPr>
        <w:t xml:space="preserve"> iznos </w:t>
      </w:r>
      <w:r w:rsidR="004E31FE">
        <w:rPr>
          <w:rFonts w:ascii="Times New Roman" w:hAnsi="Times New Roman" w:cs="Times New Roman"/>
          <w:sz w:val="24"/>
          <w:szCs w:val="24"/>
        </w:rPr>
        <w:t>Dobrovoljnom vatrogasnom društvu Ružić za plaće i troškove održavanja vozila.</w:t>
      </w:r>
    </w:p>
    <w:p w14:paraId="21F6CADE" w14:textId="77777777" w:rsidR="005F1912" w:rsidRPr="00E60C05" w:rsidRDefault="005F1912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"/>
        <w:gridCol w:w="1307"/>
        <w:gridCol w:w="5558"/>
        <w:gridCol w:w="1492"/>
        <w:gridCol w:w="1477"/>
        <w:gridCol w:w="1191"/>
        <w:gridCol w:w="1492"/>
      </w:tblGrid>
      <w:tr w:rsidR="00AF09FF" w:rsidRPr="00E60C05" w14:paraId="5624E0E7" w14:textId="77777777" w:rsidTr="002D7F93">
        <w:trPr>
          <w:trHeight w:val="226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F7426D" w14:textId="77777777" w:rsidR="005F1912" w:rsidRPr="00E60C05" w:rsidRDefault="005F1912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BC1090" w14:textId="77777777" w:rsidR="005F1912" w:rsidRPr="00E60C05" w:rsidRDefault="005F1912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D42A4B" w14:textId="77777777" w:rsidR="005F1912" w:rsidRPr="00E60C05" w:rsidRDefault="005F1912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JAVNE POTREBE U OBRAZOVANJU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67721D" w14:textId="4AFEEDED" w:rsidR="005F1912" w:rsidRPr="00E60C05" w:rsidRDefault="005F1912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E31F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918778" w14:textId="26A2CAD0" w:rsidR="005F1912" w:rsidRPr="00E60C05" w:rsidRDefault="00AF09FF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-5.000,00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6E4A1" w14:textId="120B2FA3" w:rsidR="005F1912" w:rsidRPr="00E60C05" w:rsidRDefault="00AF09FF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-12.05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7DCCC1" w14:textId="148F1685" w:rsidR="005F1912" w:rsidRPr="00E60C05" w:rsidRDefault="00AF09FF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="005F1912"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.500,00</w:t>
            </w:r>
          </w:p>
        </w:tc>
      </w:tr>
    </w:tbl>
    <w:p w14:paraId="63A61656" w14:textId="77777777" w:rsidR="005F1912" w:rsidRPr="00E60C05" w:rsidRDefault="005F1912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931"/>
        <w:gridCol w:w="7069"/>
        <w:gridCol w:w="1360"/>
        <w:gridCol w:w="2000"/>
        <w:gridCol w:w="1360"/>
        <w:gridCol w:w="1340"/>
      </w:tblGrid>
      <w:tr w:rsidR="005F1912" w:rsidRPr="00E60C05" w14:paraId="328EFA4B" w14:textId="77777777" w:rsidTr="00867A8F">
        <w:trPr>
          <w:trHeight w:val="2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A913A4" w14:textId="590687A2" w:rsidR="005F1912" w:rsidRPr="00E60C05" w:rsidRDefault="005F1912" w:rsidP="005F1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37EFA" w14:textId="1F4945C6" w:rsidR="005F1912" w:rsidRPr="00E60C05" w:rsidRDefault="005F1912" w:rsidP="005F1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B1529" w14:textId="4AD317EA" w:rsidR="005F1912" w:rsidRPr="00E60C05" w:rsidRDefault="005F1912" w:rsidP="005F1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7A5A7" w14:textId="69B47400" w:rsidR="005F1912" w:rsidRPr="00E60C05" w:rsidRDefault="005F1912" w:rsidP="005F1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AD6C1" w14:textId="056408DB" w:rsidR="005F1912" w:rsidRPr="00E60C05" w:rsidRDefault="005F1912" w:rsidP="005F1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D70D8" w14:textId="12C0B171" w:rsidR="005F1912" w:rsidRPr="00E60C05" w:rsidRDefault="005F1912" w:rsidP="005F1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F5BCC3E" w14:textId="7306D610" w:rsidR="00CD7570" w:rsidRPr="00E60C05" w:rsidRDefault="004E31FE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 </w:t>
      </w:r>
      <w:r w:rsidR="00AF09FF">
        <w:rPr>
          <w:rFonts w:ascii="Times New Roman" w:hAnsi="Times New Roman" w:cs="Times New Roman"/>
          <w:sz w:val="24"/>
          <w:szCs w:val="24"/>
          <w:shd w:val="clear" w:color="auto" w:fill="FFFFFF"/>
        </w:rPr>
        <w:t>se mijenja na stavci sanacije igrališta prema izvršenom rashodu koji je bio manji od planiranog</w:t>
      </w:r>
      <w:r w:rsidR="00F773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37DA958" w14:textId="77777777" w:rsidR="00CD7570" w:rsidRPr="00E60C05" w:rsidRDefault="00CD7570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84E8EB" w14:textId="77777777" w:rsidR="00CD7570" w:rsidRPr="00E60C05" w:rsidRDefault="00CD7570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1319"/>
        <w:gridCol w:w="5559"/>
        <w:gridCol w:w="1501"/>
        <w:gridCol w:w="1440"/>
        <w:gridCol w:w="1188"/>
        <w:gridCol w:w="1501"/>
      </w:tblGrid>
      <w:tr w:rsidR="004E31FE" w:rsidRPr="00E60C05" w14:paraId="4CA756BD" w14:textId="77777777" w:rsidTr="00CD7570">
        <w:trPr>
          <w:trHeight w:val="55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A6437" w14:textId="77777777" w:rsidR="00CD7570" w:rsidRPr="00E60C05" w:rsidRDefault="00CD7570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E365AE" w14:textId="77777777" w:rsidR="00CD7570" w:rsidRPr="00E60C05" w:rsidRDefault="00CD7570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C07391" w14:textId="77777777" w:rsidR="00CD7570" w:rsidRPr="00E60C05" w:rsidRDefault="00CD7570" w:rsidP="002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KULTURA, RELIGIJA I UDRUGE GRAĐANA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1E53B8" w14:textId="47BF3556" w:rsidR="00CD7570" w:rsidRPr="00E60C05" w:rsidRDefault="004E31FE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CD7570"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7EB612" w14:textId="3320E48F" w:rsidR="00CD7570" w:rsidRPr="00E60C05" w:rsidRDefault="004E31FE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1BD70A" w14:textId="00B83FFF" w:rsidR="00CD7570" w:rsidRPr="00E60C05" w:rsidRDefault="004E31FE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154FE9" w14:textId="7885911F" w:rsidR="00CD7570" w:rsidRPr="00E60C05" w:rsidRDefault="004E31FE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18.000</w:t>
            </w:r>
            <w:r w:rsidR="008E09B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14:paraId="11735D93" w14:textId="77777777" w:rsidR="008D34B9" w:rsidRPr="00E60C05" w:rsidRDefault="008D34B9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173007" w14:textId="77777777" w:rsidR="00F7737E" w:rsidRDefault="00F7737E" w:rsidP="00F773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Rashodi u programu ostaju  prema prethodnom planu.</w:t>
      </w:r>
    </w:p>
    <w:p w14:paraId="431C39FA" w14:textId="77777777" w:rsidR="00AF09FF" w:rsidRPr="00E60C05" w:rsidRDefault="00AF09FF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7"/>
        <w:gridCol w:w="1324"/>
        <w:gridCol w:w="5568"/>
        <w:gridCol w:w="1490"/>
        <w:gridCol w:w="1444"/>
        <w:gridCol w:w="1191"/>
        <w:gridCol w:w="1490"/>
      </w:tblGrid>
      <w:tr w:rsidR="00CD7570" w:rsidRPr="00E60C05" w14:paraId="7E1F35FB" w14:textId="77777777" w:rsidTr="002D7F93">
        <w:trPr>
          <w:trHeight w:val="226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3AEDB0" w14:textId="77777777" w:rsidR="00CD7570" w:rsidRPr="00E60C05" w:rsidRDefault="00CD7570" w:rsidP="002D7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BD4031" w14:textId="77777777" w:rsidR="00CD7570" w:rsidRPr="00E60C05" w:rsidRDefault="00CD7570" w:rsidP="002D7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548E09" w14:textId="77777777" w:rsidR="00CD7570" w:rsidRPr="00E60C05" w:rsidRDefault="00CD7570" w:rsidP="002D7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RAZVOJ TURIZMA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9E163" w14:textId="77777777" w:rsidR="00CD7570" w:rsidRPr="00E60C05" w:rsidRDefault="00CD7570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A85EF1" w14:textId="77777777" w:rsidR="00CD7570" w:rsidRPr="00E60C05" w:rsidRDefault="00CD7570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4F2470" w14:textId="77777777" w:rsidR="00CD7570" w:rsidRPr="00E60C05" w:rsidRDefault="00CD7570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358AEC" w14:textId="77777777" w:rsidR="00CD7570" w:rsidRPr="00E60C05" w:rsidRDefault="00CD7570" w:rsidP="002D7F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C0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5.000,00</w:t>
            </w:r>
          </w:p>
        </w:tc>
      </w:tr>
    </w:tbl>
    <w:p w14:paraId="6C093863" w14:textId="77777777" w:rsidR="00F7737E" w:rsidRDefault="008D34B9" w:rsidP="00F773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0C05">
        <w:rPr>
          <w:rFonts w:ascii="Times New Roman" w:hAnsi="Times New Roman" w:cs="Times New Roman"/>
          <w:sz w:val="24"/>
          <w:szCs w:val="24"/>
        </w:rPr>
        <w:br/>
      </w:r>
      <w:r w:rsidR="00F773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Rashodi u programu ostaju  prema prethodnom planu.</w:t>
      </w:r>
    </w:p>
    <w:p w14:paraId="37994C78" w14:textId="38C50EC6" w:rsidR="00A036FF" w:rsidRDefault="00A036FF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9EA22" w14:textId="77777777" w:rsidR="00AF09FF" w:rsidRDefault="00AF09FF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D6A32" w14:textId="445365B6" w:rsidR="004E31FE" w:rsidRPr="004E31FE" w:rsidRDefault="00AF09FF" w:rsidP="00715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</w:t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>rogram           1013              POLJOPRIVREDA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0,00                                                   </w:t>
      </w:r>
      <w:r w:rsidR="00E7163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5.600,00</w:t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31F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31FE" w:rsidRPr="004E31F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4E31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AFEDC" w14:textId="22A4F077" w:rsidR="004A64B7" w:rsidRPr="004E31FE" w:rsidRDefault="004E31FE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1FE">
        <w:rPr>
          <w:rFonts w:ascii="Times New Roman" w:hAnsi="Times New Roman" w:cs="Times New Roman"/>
          <w:sz w:val="24"/>
          <w:szCs w:val="24"/>
        </w:rPr>
        <w:t>Program se odnosi na promociju pčelarstva u Općini</w:t>
      </w:r>
      <w:r>
        <w:rPr>
          <w:rFonts w:ascii="Times New Roman" w:hAnsi="Times New Roman" w:cs="Times New Roman"/>
          <w:sz w:val="24"/>
          <w:szCs w:val="24"/>
        </w:rPr>
        <w:t>, projekt je prijavljen na Javni poziv Ministarstva poljoprivrede</w:t>
      </w:r>
      <w:r w:rsidR="00F7737E">
        <w:rPr>
          <w:rFonts w:ascii="Times New Roman" w:hAnsi="Times New Roman" w:cs="Times New Roman"/>
          <w:sz w:val="24"/>
          <w:szCs w:val="24"/>
        </w:rPr>
        <w:t xml:space="preserve"> koje će sufinancirati rashode </w:t>
      </w:r>
      <w:r>
        <w:rPr>
          <w:rFonts w:ascii="Times New Roman" w:hAnsi="Times New Roman" w:cs="Times New Roman"/>
          <w:sz w:val="24"/>
          <w:szCs w:val="24"/>
        </w:rPr>
        <w:t xml:space="preserve">  95,00 %.</w:t>
      </w:r>
    </w:p>
    <w:p w14:paraId="60754390" w14:textId="77777777" w:rsidR="004A64B7" w:rsidRPr="004E31FE" w:rsidRDefault="004A64B7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1D642" w14:textId="77777777" w:rsidR="00CD7570" w:rsidRPr="00E60C05" w:rsidRDefault="00CD7570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5E15E" w14:textId="6FEBC0CA" w:rsidR="004A64B7" w:rsidRPr="00E60C05" w:rsidRDefault="00124CAF" w:rsidP="004A64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 xml:space="preserve">Predloženim rebalansom,  zbog </w:t>
      </w:r>
      <w:r w:rsidR="004A64B7" w:rsidRPr="00E60C05">
        <w:rPr>
          <w:rFonts w:ascii="Times New Roman" w:hAnsi="Times New Roman" w:cs="Times New Roman"/>
          <w:sz w:val="24"/>
          <w:szCs w:val="24"/>
        </w:rPr>
        <w:t>usklađenja s ostvarenjem</w:t>
      </w:r>
      <w:r w:rsidR="00DD1722">
        <w:rPr>
          <w:rFonts w:ascii="Times New Roman" w:hAnsi="Times New Roman" w:cs="Times New Roman"/>
          <w:sz w:val="24"/>
          <w:szCs w:val="24"/>
        </w:rPr>
        <w:t xml:space="preserve"> prihoda </w:t>
      </w:r>
      <w:r w:rsidR="004A64B7" w:rsidRPr="00E60C05">
        <w:rPr>
          <w:rFonts w:ascii="Times New Roman" w:hAnsi="Times New Roman" w:cs="Times New Roman"/>
          <w:sz w:val="24"/>
          <w:szCs w:val="24"/>
        </w:rPr>
        <w:t xml:space="preserve"> i očekivanom realizacijom do kraja proračunske godine po pojedinim stavkama,</w:t>
      </w:r>
      <w:r w:rsidRPr="00E60C05">
        <w:rPr>
          <w:rFonts w:ascii="Times New Roman" w:hAnsi="Times New Roman" w:cs="Times New Roman"/>
          <w:sz w:val="24"/>
          <w:szCs w:val="24"/>
        </w:rPr>
        <w:t xml:space="preserve"> </w:t>
      </w:r>
      <w:r w:rsidR="004A64B7" w:rsidRPr="00E60C05">
        <w:rPr>
          <w:rFonts w:ascii="Times New Roman" w:hAnsi="Times New Roman" w:cs="Times New Roman"/>
          <w:sz w:val="24"/>
          <w:szCs w:val="24"/>
        </w:rPr>
        <w:t>dio rashoda</w:t>
      </w:r>
      <w:r w:rsidRPr="00E60C05">
        <w:rPr>
          <w:rFonts w:ascii="Times New Roman" w:hAnsi="Times New Roman" w:cs="Times New Roman"/>
          <w:sz w:val="24"/>
          <w:szCs w:val="24"/>
        </w:rPr>
        <w:t xml:space="preserve"> se</w:t>
      </w:r>
      <w:r w:rsidR="004A64B7" w:rsidRPr="00E60C05">
        <w:rPr>
          <w:rFonts w:ascii="Times New Roman" w:hAnsi="Times New Roman" w:cs="Times New Roman"/>
          <w:sz w:val="24"/>
          <w:szCs w:val="24"/>
        </w:rPr>
        <w:t xml:space="preserve"> smanjuje, a dio povećava</w:t>
      </w:r>
      <w:r w:rsidRPr="00E60C05">
        <w:rPr>
          <w:rFonts w:ascii="Times New Roman" w:hAnsi="Times New Roman" w:cs="Times New Roman"/>
          <w:sz w:val="24"/>
          <w:szCs w:val="24"/>
        </w:rPr>
        <w:t xml:space="preserve"> te se predlaže Općinskom vijeću na razmatranje i usvajanje.</w:t>
      </w:r>
    </w:p>
    <w:p w14:paraId="7283AF88" w14:textId="77777777" w:rsidR="004A64B7" w:rsidRPr="00E60C05" w:rsidRDefault="004A64B7" w:rsidP="004A6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61DA9" w14:textId="77777777" w:rsidR="00AF09FF" w:rsidRDefault="00124CAF" w:rsidP="004A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05">
        <w:rPr>
          <w:rFonts w:ascii="Times New Roman" w:hAnsi="Times New Roman" w:cs="Times New Roman"/>
          <w:sz w:val="24"/>
          <w:szCs w:val="24"/>
        </w:rPr>
        <w:t xml:space="preserve"> </w:t>
      </w:r>
      <w:r w:rsidRPr="00E60C05">
        <w:rPr>
          <w:rFonts w:ascii="Times New Roman" w:hAnsi="Times New Roman" w:cs="Times New Roman"/>
          <w:sz w:val="24"/>
          <w:szCs w:val="24"/>
        </w:rPr>
        <w:tab/>
      </w:r>
      <w:r w:rsidRPr="00E60C05">
        <w:rPr>
          <w:rFonts w:ascii="Times New Roman" w:hAnsi="Times New Roman" w:cs="Times New Roman"/>
          <w:sz w:val="24"/>
          <w:szCs w:val="24"/>
        </w:rPr>
        <w:tab/>
      </w:r>
      <w:r w:rsidRPr="00E60C05">
        <w:rPr>
          <w:rFonts w:ascii="Times New Roman" w:hAnsi="Times New Roman" w:cs="Times New Roman"/>
          <w:sz w:val="24"/>
          <w:szCs w:val="24"/>
        </w:rPr>
        <w:tab/>
      </w:r>
      <w:r w:rsidRPr="00E60C05">
        <w:rPr>
          <w:rFonts w:ascii="Times New Roman" w:hAnsi="Times New Roman" w:cs="Times New Roman"/>
          <w:sz w:val="24"/>
          <w:szCs w:val="24"/>
        </w:rPr>
        <w:tab/>
      </w:r>
      <w:r w:rsidRPr="00E60C05">
        <w:rPr>
          <w:rFonts w:ascii="Times New Roman" w:hAnsi="Times New Roman" w:cs="Times New Roman"/>
          <w:sz w:val="24"/>
          <w:szCs w:val="24"/>
        </w:rPr>
        <w:tab/>
      </w:r>
      <w:r w:rsidRPr="00E60C05">
        <w:rPr>
          <w:rFonts w:ascii="Times New Roman" w:hAnsi="Times New Roman" w:cs="Times New Roman"/>
          <w:sz w:val="24"/>
          <w:szCs w:val="24"/>
        </w:rPr>
        <w:tab/>
      </w:r>
      <w:r w:rsidRPr="00E60C05">
        <w:rPr>
          <w:rFonts w:ascii="Times New Roman" w:hAnsi="Times New Roman" w:cs="Times New Roman"/>
          <w:sz w:val="24"/>
          <w:szCs w:val="24"/>
        </w:rPr>
        <w:tab/>
      </w:r>
      <w:r w:rsidRPr="00E60C05">
        <w:rPr>
          <w:rFonts w:ascii="Times New Roman" w:hAnsi="Times New Roman" w:cs="Times New Roman"/>
          <w:sz w:val="24"/>
          <w:szCs w:val="24"/>
        </w:rPr>
        <w:tab/>
      </w:r>
      <w:r w:rsidRPr="00E60C05">
        <w:rPr>
          <w:rFonts w:ascii="Times New Roman" w:hAnsi="Times New Roman" w:cs="Times New Roman"/>
          <w:sz w:val="24"/>
          <w:szCs w:val="24"/>
        </w:rPr>
        <w:tab/>
      </w:r>
      <w:r w:rsidRPr="00E60C05">
        <w:rPr>
          <w:rFonts w:ascii="Times New Roman" w:hAnsi="Times New Roman" w:cs="Times New Roman"/>
          <w:sz w:val="24"/>
          <w:szCs w:val="24"/>
        </w:rPr>
        <w:tab/>
      </w:r>
    </w:p>
    <w:p w14:paraId="40F1F32F" w14:textId="77777777" w:rsidR="004A64B7" w:rsidRPr="00E60C05" w:rsidRDefault="004A64B7" w:rsidP="004A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812243" w14:textId="77777777" w:rsidR="00CD7570" w:rsidRPr="00E60C05" w:rsidRDefault="00CD7570" w:rsidP="00715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7570" w:rsidRPr="00E60C05" w:rsidSect="005554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93732"/>
    <w:multiLevelType w:val="hybridMultilevel"/>
    <w:tmpl w:val="94D088F8"/>
    <w:lvl w:ilvl="0" w:tplc="35CC1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178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8"/>
    <w:rsid w:val="00064941"/>
    <w:rsid w:val="00075078"/>
    <w:rsid w:val="00096FCA"/>
    <w:rsid w:val="000C25BD"/>
    <w:rsid w:val="000C600E"/>
    <w:rsid w:val="000D6207"/>
    <w:rsid w:val="00124CAF"/>
    <w:rsid w:val="001471D4"/>
    <w:rsid w:val="001874A4"/>
    <w:rsid w:val="001D60DE"/>
    <w:rsid w:val="001E69E0"/>
    <w:rsid w:val="00234625"/>
    <w:rsid w:val="002442A9"/>
    <w:rsid w:val="00247569"/>
    <w:rsid w:val="003037F5"/>
    <w:rsid w:val="00343D1D"/>
    <w:rsid w:val="0034504F"/>
    <w:rsid w:val="00366880"/>
    <w:rsid w:val="003B72A8"/>
    <w:rsid w:val="004261ED"/>
    <w:rsid w:val="00460151"/>
    <w:rsid w:val="0046058E"/>
    <w:rsid w:val="00483E5F"/>
    <w:rsid w:val="004A64B7"/>
    <w:rsid w:val="004E31FE"/>
    <w:rsid w:val="004E5746"/>
    <w:rsid w:val="00506B64"/>
    <w:rsid w:val="005165CC"/>
    <w:rsid w:val="005554BF"/>
    <w:rsid w:val="005F1912"/>
    <w:rsid w:val="006044F9"/>
    <w:rsid w:val="00622BD4"/>
    <w:rsid w:val="00664F2B"/>
    <w:rsid w:val="0068137C"/>
    <w:rsid w:val="0071536E"/>
    <w:rsid w:val="00784C7B"/>
    <w:rsid w:val="007A44E5"/>
    <w:rsid w:val="00853EE3"/>
    <w:rsid w:val="00897EB0"/>
    <w:rsid w:val="008A1227"/>
    <w:rsid w:val="008D34B9"/>
    <w:rsid w:val="008E09B3"/>
    <w:rsid w:val="008E668B"/>
    <w:rsid w:val="00900E8C"/>
    <w:rsid w:val="00994378"/>
    <w:rsid w:val="0099533B"/>
    <w:rsid w:val="009E0B36"/>
    <w:rsid w:val="009E18DB"/>
    <w:rsid w:val="009F14EE"/>
    <w:rsid w:val="00A036FF"/>
    <w:rsid w:val="00A22BEF"/>
    <w:rsid w:val="00A2510B"/>
    <w:rsid w:val="00AB2464"/>
    <w:rsid w:val="00AF09FF"/>
    <w:rsid w:val="00B635AE"/>
    <w:rsid w:val="00B66951"/>
    <w:rsid w:val="00BC7A68"/>
    <w:rsid w:val="00C13525"/>
    <w:rsid w:val="00C60516"/>
    <w:rsid w:val="00C754AC"/>
    <w:rsid w:val="00CD7570"/>
    <w:rsid w:val="00D14AEA"/>
    <w:rsid w:val="00D35130"/>
    <w:rsid w:val="00D6208A"/>
    <w:rsid w:val="00D92468"/>
    <w:rsid w:val="00D97203"/>
    <w:rsid w:val="00DA66E2"/>
    <w:rsid w:val="00DD1722"/>
    <w:rsid w:val="00DD4070"/>
    <w:rsid w:val="00DD6F6C"/>
    <w:rsid w:val="00DE60C7"/>
    <w:rsid w:val="00E60C05"/>
    <w:rsid w:val="00E60E26"/>
    <w:rsid w:val="00E71631"/>
    <w:rsid w:val="00E76C81"/>
    <w:rsid w:val="00F066EE"/>
    <w:rsid w:val="00F57B2E"/>
    <w:rsid w:val="00F6561A"/>
    <w:rsid w:val="00F7737E"/>
    <w:rsid w:val="00F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5743"/>
  <w15:chartTrackingRefBased/>
  <w15:docId w15:val="{AEC52348-CC7A-4506-891E-F7BCD54D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7E"/>
  </w:style>
  <w:style w:type="paragraph" w:styleId="Naslov1">
    <w:name w:val="heading 1"/>
    <w:basedOn w:val="Normal"/>
    <w:next w:val="Normal"/>
    <w:link w:val="Naslov1Char"/>
    <w:uiPriority w:val="9"/>
    <w:qFormat/>
    <w:rsid w:val="0007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5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5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5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5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5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5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5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5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5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50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50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50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50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50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50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50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50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50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5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50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5078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995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9824-E2C1-46E7-A8E7-E5017E3E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Opcina Ruzic</cp:lastModifiedBy>
  <cp:revision>40</cp:revision>
  <cp:lastPrinted>2025-12-05T07:54:00Z</cp:lastPrinted>
  <dcterms:created xsi:type="dcterms:W3CDTF">2025-04-01T03:55:00Z</dcterms:created>
  <dcterms:modified xsi:type="dcterms:W3CDTF">2025-12-24T07:27:00Z</dcterms:modified>
</cp:coreProperties>
</file>